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4C8A" w14:textId="77777777" w:rsidR="00D84FE6" w:rsidRPr="005F14F0" w:rsidRDefault="00D84FE6" w:rsidP="00D84FE6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Inhaltsübersicht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5E78223F" w14:textId="77777777" w:rsidR="00D84FE6" w:rsidRPr="005F14F0" w:rsidRDefault="00D84FE6" w:rsidP="00D84FE6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C6BC1B" w14:textId="66F9439C" w:rsidR="00D84FE6" w:rsidRPr="005F14F0" w:rsidRDefault="00D84FE6" w:rsidP="00D84FE6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891CFD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50AE3F3" w14:textId="4FE34A25" w:rsidR="00891CFD" w:rsidRPr="00C82EFB" w:rsidRDefault="00891CFD" w:rsidP="00891CFD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Ringraum ausgestattet mit selbstlimitierendem Parallelheizband</w:t>
      </w:r>
    </w:p>
    <w:p w14:paraId="110042CE" w14:textId="77777777" w:rsidR="00D84FE6" w:rsidRPr="005F14F0" w:rsidRDefault="00D84FE6" w:rsidP="00D84FE6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520F827F" w14:textId="77777777" w:rsidR="00D84FE6" w:rsidRPr="00A44A91" w:rsidRDefault="00D84FE6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Seiten</w:t>
      </w:r>
    </w:p>
    <w:p w14:paraId="380E2A0B" w14:textId="566DAFC1" w:rsidR="00D84FE6" w:rsidRPr="00A44A91" w:rsidRDefault="00D84FE6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Inhalt</w:t>
      </w:r>
      <w:r w:rsidR="0015716D">
        <w:rPr>
          <w:rStyle w:val="normal8"/>
          <w:rFonts w:ascii="Century Gothic" w:eastAsiaTheme="minorHAnsi" w:hAnsi="Century Gothic"/>
          <w:sz w:val="20"/>
          <w:lang w:eastAsia="en-US"/>
        </w:rPr>
        <w:t>s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übersicht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1-2</w:t>
      </w:r>
    </w:p>
    <w:p w14:paraId="126FC73C" w14:textId="212E19FE" w:rsidR="00D84FE6" w:rsidRPr="00A44A91" w:rsidRDefault="00D84FE6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Beschreibung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3</w:t>
      </w:r>
    </w:p>
    <w:p w14:paraId="76C64429" w14:textId="420DD2B6" w:rsidR="00B4654A" w:rsidRPr="00C00F5C" w:rsidRDefault="00B4654A" w:rsidP="00B4654A">
      <w:pPr>
        <w:pStyle w:val="normal8links"/>
        <w:spacing w:line="240" w:lineRule="auto"/>
        <w:rPr>
          <w:rStyle w:val="normal8"/>
          <w:rFonts w:ascii="Century Gothic" w:hAnsi="Century Gothic"/>
          <w:sz w:val="20"/>
          <w:lang w:val="de-D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755E48" wp14:editId="005BD01C">
            <wp:simplePos x="0" y="0"/>
            <wp:positionH relativeFrom="column">
              <wp:posOffset>1516380</wp:posOffset>
            </wp:positionH>
            <wp:positionV relativeFrom="paragraph">
              <wp:posOffset>6985</wp:posOffset>
            </wp:positionV>
            <wp:extent cx="1597763" cy="809643"/>
            <wp:effectExtent l="0" t="0" r="254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63" cy="80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CBB0" w14:textId="2FA6B0FB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10.100 Rohre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4-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5</w:t>
      </w:r>
    </w:p>
    <w:p w14:paraId="245FDCE8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CAA6C14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D377FC" wp14:editId="4DAEE92B">
            <wp:simplePos x="0" y="0"/>
            <wp:positionH relativeFrom="column">
              <wp:posOffset>3217766</wp:posOffset>
            </wp:positionH>
            <wp:positionV relativeFrom="paragraph">
              <wp:posOffset>11595</wp:posOffset>
            </wp:positionV>
            <wp:extent cx="722832" cy="1065475"/>
            <wp:effectExtent l="0" t="0" r="1270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32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0ECCC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89040F" w14:textId="4275D304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12.45 Winkel/ DR 11.45 Bogen 45°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6-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7</w:t>
      </w:r>
    </w:p>
    <w:p w14:paraId="726D84E5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E903B8A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E490669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3402BE" wp14:editId="485A10FC">
            <wp:simplePos x="0" y="0"/>
            <wp:positionH relativeFrom="column">
              <wp:posOffset>4330948</wp:posOffset>
            </wp:positionH>
            <wp:positionV relativeFrom="paragraph">
              <wp:posOffset>3727</wp:posOffset>
            </wp:positionV>
            <wp:extent cx="894986" cy="842429"/>
            <wp:effectExtent l="0" t="0" r="63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86" cy="8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A590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8E760B9" w14:textId="147B6DD5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12.88 Winkel 88,5°</w:t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8</w:t>
      </w:r>
    </w:p>
    <w:p w14:paraId="0F768A2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19DBD33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4A64D8" wp14:editId="3B0B8F61">
            <wp:simplePos x="0" y="0"/>
            <wp:positionH relativeFrom="column">
              <wp:posOffset>3225717</wp:posOffset>
            </wp:positionH>
            <wp:positionV relativeFrom="paragraph">
              <wp:posOffset>9415</wp:posOffset>
            </wp:positionV>
            <wp:extent cx="844616" cy="1097280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0239F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813594A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9552D25" w14:textId="08BAC560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  <w:tab w:val="left" w:pos="543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DR12.47 Umlenkung 2x45° mit Zwischenstück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8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-10</w:t>
      </w:r>
    </w:p>
    <w:p w14:paraId="03B1C64D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61133FD" w14:textId="77777777" w:rsidR="00B4654A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D045DB4" w14:textId="77777777" w:rsidR="00B4654A" w:rsidRPr="00C00F5C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5885F12" wp14:editId="1BB3FF6C">
            <wp:simplePos x="0" y="0"/>
            <wp:positionH relativeFrom="column">
              <wp:posOffset>4339121</wp:posOffset>
            </wp:positionH>
            <wp:positionV relativeFrom="paragraph">
              <wp:posOffset>5466</wp:posOffset>
            </wp:positionV>
            <wp:extent cx="908292" cy="858741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92" cy="8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BB8B3" w14:textId="77777777" w:rsidR="00B4654A" w:rsidRPr="00C00F5C" w:rsidRDefault="00B4654A" w:rsidP="00B4654A">
      <w:pPr>
        <w:tabs>
          <w:tab w:val="left" w:pos="750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A39A40A" w14:textId="32E91241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12.47 Umlenkung 2x45° ohne Zwischenstück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0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-12</w:t>
      </w:r>
    </w:p>
    <w:p w14:paraId="3056D486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E23D7B3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016984A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A8974" wp14:editId="23582253">
            <wp:simplePos x="0" y="0"/>
            <wp:positionH relativeFrom="column">
              <wp:posOffset>3265474</wp:posOffset>
            </wp:positionH>
            <wp:positionV relativeFrom="paragraph">
              <wp:posOffset>85339</wp:posOffset>
            </wp:positionV>
            <wp:extent cx="1173131" cy="834887"/>
            <wp:effectExtent l="0" t="0" r="8255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31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137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53FB79C" w14:textId="467C19E5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DR 67 Endübergang auf Einzelrohr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Rohranfang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-14</w:t>
      </w:r>
    </w:p>
    <w:p w14:paraId="6873A22D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72195A1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E760FF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4E4AD9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29954F" wp14:editId="6151B24B">
            <wp:simplePos x="0" y="0"/>
            <wp:positionH relativeFrom="column">
              <wp:posOffset>3257440</wp:posOffset>
            </wp:positionH>
            <wp:positionV relativeFrom="paragraph">
              <wp:posOffset>9525</wp:posOffset>
            </wp:positionV>
            <wp:extent cx="1164932" cy="82693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32" cy="8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A2673" w14:textId="1B1AC630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DR 67 Endübergang auf Einzelrohr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Rohrende</w:t>
      </w:r>
      <w:r w:rsidRPr="0009381C">
        <w:t xml:space="preserve"> 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4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-16</w:t>
      </w:r>
    </w:p>
    <w:p w14:paraId="34C1C56C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8BF8A32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631C2BD" wp14:editId="62D3067D">
            <wp:simplePos x="0" y="0"/>
            <wp:positionH relativeFrom="margin">
              <wp:posOffset>2327910</wp:posOffset>
            </wp:positionH>
            <wp:positionV relativeFrom="paragraph">
              <wp:posOffset>139700</wp:posOffset>
            </wp:positionV>
            <wp:extent cx="1459055" cy="985962"/>
            <wp:effectExtent l="0" t="0" r="8255" b="508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55" cy="9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5437E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B9B181F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7F9293C" w14:textId="2FBC5B68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15 Reduktion konzentrisch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6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-19</w:t>
      </w:r>
    </w:p>
    <w:p w14:paraId="2CAFEA0B" w14:textId="1EB396E3" w:rsidR="00B4654A" w:rsidRPr="00C00F5C" w:rsidRDefault="00A63661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5E97EBD" wp14:editId="1F7CC210">
            <wp:simplePos x="0" y="0"/>
            <wp:positionH relativeFrom="column">
              <wp:posOffset>1538605</wp:posOffset>
            </wp:positionH>
            <wp:positionV relativeFrom="paragraph">
              <wp:posOffset>43180</wp:posOffset>
            </wp:positionV>
            <wp:extent cx="1272209" cy="1120593"/>
            <wp:effectExtent l="0" t="0" r="4445" b="381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09" cy="11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27C96" w14:textId="1FD7390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1628978" w14:textId="1A0DE42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C40878D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9D0696" w14:textId="13E9F332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30 Abzweig 45°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19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-24</w:t>
      </w:r>
    </w:p>
    <w:p w14:paraId="4D128494" w14:textId="25649ECA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A7504AB" w14:textId="7AA2A6D3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6410B55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C9559" w14:textId="16C9489E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DA262A" w14:textId="2D5AD235" w:rsidR="00B4654A" w:rsidRPr="00C00F5C" w:rsidRDefault="00496EDC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3354DEE" wp14:editId="774338A2">
            <wp:simplePos x="0" y="0"/>
            <wp:positionH relativeFrom="column">
              <wp:posOffset>2744470</wp:posOffset>
            </wp:positionH>
            <wp:positionV relativeFrom="paragraph">
              <wp:posOffset>-725805</wp:posOffset>
            </wp:positionV>
            <wp:extent cx="1585512" cy="1502796"/>
            <wp:effectExtent l="0" t="0" r="0" b="254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12" cy="150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31 Abzweig 45° mit 45° Winkel</w:t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="005B3104">
        <w:rPr>
          <w:rStyle w:val="normal8"/>
          <w:rFonts w:ascii="Century Gothic" w:eastAsiaTheme="minorHAnsi" w:hAnsi="Century Gothic"/>
          <w:sz w:val="20"/>
          <w:lang w:eastAsia="en-US"/>
        </w:rPr>
        <w:t>4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-29</w:t>
      </w:r>
    </w:p>
    <w:p w14:paraId="75F6E0E3" w14:textId="5752B35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1E572F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6035D25" w14:textId="548B839D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A1941AF" w14:textId="7A382341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5F9D07C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BBFECE7" w14:textId="2BBC3FBB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CF03B2D" w14:textId="084CEB6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71AFE58" w14:textId="2EA6D11A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C541A94" wp14:editId="118C4B01">
            <wp:simplePos x="0" y="0"/>
            <wp:positionH relativeFrom="column">
              <wp:posOffset>3313624</wp:posOffset>
            </wp:positionH>
            <wp:positionV relativeFrom="paragraph">
              <wp:posOffset>-324954</wp:posOffset>
            </wp:positionV>
            <wp:extent cx="1470991" cy="981919"/>
            <wp:effectExtent l="0" t="0" r="0" b="889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9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Abzweig 45° mit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direktem Endübergang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7E6013">
        <w:rPr>
          <w:rStyle w:val="normal8"/>
          <w:rFonts w:ascii="Century Gothic" w:eastAsiaTheme="minorHAnsi" w:hAnsi="Century Gothic"/>
          <w:sz w:val="20"/>
          <w:lang w:eastAsia="en-US"/>
        </w:rPr>
        <w:t>29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-31</w:t>
      </w:r>
    </w:p>
    <w:p w14:paraId="719C5D5E" w14:textId="1FA1360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6B6D277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EB4E7AF" w14:textId="4FBD7092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D291736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noProof/>
          <w:sz w:val="20"/>
          <w:lang w:eastAsia="en-US"/>
        </w:rPr>
        <w:drawing>
          <wp:anchor distT="0" distB="0" distL="114300" distR="114300" simplePos="0" relativeHeight="251659264" behindDoc="1" locked="0" layoutInCell="1" allowOverlap="1" wp14:anchorId="4E26116C" wp14:editId="25772E95">
            <wp:simplePos x="0" y="0"/>
            <wp:positionH relativeFrom="column">
              <wp:posOffset>4480560</wp:posOffset>
            </wp:positionH>
            <wp:positionV relativeFrom="paragraph">
              <wp:posOffset>6350</wp:posOffset>
            </wp:positionV>
            <wp:extent cx="523875" cy="528094"/>
            <wp:effectExtent l="0" t="0" r="0" b="5715"/>
            <wp:wrapNone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B00440E7-B4E0-4C97-A8FD-DE35C1AC3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B00440E7-B4E0-4C97-A8FD-DE35C1AC3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6F86" w14:textId="28E4AE39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PEA 41.95-65 </w:t>
      </w:r>
      <w:proofErr w:type="spellStart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Akafusions</w:t>
      </w:r>
      <w:proofErr w:type="spellEnd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Elektroschweißmuffen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32-35</w:t>
      </w:r>
    </w:p>
    <w:p w14:paraId="56FF39BA" w14:textId="7E0FEFDD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66A71" w14:textId="74C98559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63E2AAC" w14:textId="54081D09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42D581" wp14:editId="39EAEE94">
            <wp:simplePos x="0" y="0"/>
            <wp:positionH relativeFrom="column">
              <wp:posOffset>3412490</wp:posOffset>
            </wp:positionH>
            <wp:positionV relativeFrom="paragraph">
              <wp:posOffset>81915</wp:posOffset>
            </wp:positionV>
            <wp:extent cx="561975" cy="36449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7D61C" w14:textId="5F088B42" w:rsidR="00B4654A" w:rsidRPr="00B74CEF" w:rsidRDefault="00B4654A" w:rsidP="00B4654A">
      <w:pPr>
        <w:pStyle w:val="Listenabsatz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3DDD0E8" w14:textId="101B9854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41.95 Heizwendeschweiß-Langmuffen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7E6013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-35</w:t>
      </w:r>
    </w:p>
    <w:p w14:paraId="3FA41ADD" w14:textId="564ED270" w:rsidR="00B4654A" w:rsidRDefault="00C2520D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3F6EEB" wp14:editId="5548D6AE">
            <wp:simplePos x="0" y="0"/>
            <wp:positionH relativeFrom="page">
              <wp:posOffset>2695574</wp:posOffset>
            </wp:positionH>
            <wp:positionV relativeFrom="paragraph">
              <wp:posOffset>12065</wp:posOffset>
            </wp:positionV>
            <wp:extent cx="1234227" cy="1323975"/>
            <wp:effectExtent l="0" t="0" r="4445" b="0"/>
            <wp:wrapNone/>
            <wp:docPr id="1564685433" name="Grafik 1" descr="Ein Bild, das Zylinder, Design, Müllei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85433" name="Grafik 1" descr="Ein Bild, das Zylinder, Design, Mülleim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66" cy="13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76E2C" w14:textId="39DC66E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33A5850" w14:textId="5643828D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05AD619" w14:textId="145E85AA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60.04 Schächte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7C4049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36</w:t>
      </w:r>
    </w:p>
    <w:p w14:paraId="37D4392D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3A240C0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29ADFF6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A8ED4E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489A6E4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FD4229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83ECED1" w14:textId="310802D6" w:rsidR="00B4654A" w:rsidRPr="00C00F5C" w:rsidRDefault="00515493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Fonts w:ascii="Century Gothic" w:eastAsiaTheme="minorHAnsi" w:hAnsi="Century Gothic" w:cs="Verdana"/>
          <w:noProof/>
          <w:color w:val="000000"/>
          <w:sz w:val="20"/>
          <w:szCs w:val="16"/>
          <w:lang w:eastAsia="en-US"/>
        </w:rPr>
        <w:drawing>
          <wp:anchor distT="0" distB="0" distL="114300" distR="114300" simplePos="0" relativeHeight="251673600" behindDoc="1" locked="0" layoutInCell="1" allowOverlap="1" wp14:anchorId="240026C4" wp14:editId="624DABD2">
            <wp:simplePos x="0" y="0"/>
            <wp:positionH relativeFrom="column">
              <wp:posOffset>2766695</wp:posOffset>
            </wp:positionH>
            <wp:positionV relativeFrom="paragraph">
              <wp:posOffset>7620</wp:posOffset>
            </wp:positionV>
            <wp:extent cx="675148" cy="861961"/>
            <wp:effectExtent l="0" t="0" r="0" b="0"/>
            <wp:wrapNone/>
            <wp:docPr id="1400300512" name="Grafik 1" descr="Ein Bild, das Text, Lautsprecher, Design, Silb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00512" name="Grafik 1" descr="Ein Bild, das Text, Lautsprecher, Design, Silber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48" cy="86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12655" w14:textId="45BB7A79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Style w:val="normal8"/>
          <w:rFonts w:ascii="Century Gothic" w:eastAsiaTheme="minorHAnsi" w:hAnsi="Century Gothic"/>
          <w:sz w:val="20"/>
          <w:lang w:eastAsia="en-US"/>
        </w:rPr>
        <w:t>Zubehör für Begleitheiztechnik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37-38</w:t>
      </w:r>
    </w:p>
    <w:p w14:paraId="07784ED8" w14:textId="38625FF5" w:rsidR="00B4654A" w:rsidRPr="00C00F5C" w:rsidRDefault="00B4654A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32CA1B3" w14:textId="0CF5D053" w:rsidR="00D84FE6" w:rsidRDefault="00D84FE6" w:rsidP="00AC08AE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3E6C1B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0351A4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95D3D" w14:textId="3C4BA85E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DD993D" w14:textId="0604A2C5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D1256" w14:textId="7FB23B19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225469" w14:textId="46AB96CA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32AA0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FB988C" w14:textId="4D045696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F1ABA3" w14:textId="021DCDD4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24FC7" w14:textId="1110243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FE65C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AA23E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3E0CA1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DB534F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AB01C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7CCD73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053D6B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B548D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234FF" w14:textId="5083FBE8" w:rsidR="00C82EFB" w:rsidRPr="00C82EFB" w:rsidRDefault="00C82EFB" w:rsidP="00C82EFB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Leistungsverzeichnis</w:t>
      </w:r>
    </w:p>
    <w:p w14:paraId="1FE7E4D1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41F906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3FB1F83" w14:textId="5DA040C3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Ringraum ausgestattet mit selbstlimitierendem (selbstbegrenzendem) Parallelheizband</w:t>
      </w:r>
    </w:p>
    <w:p w14:paraId="33F4D79B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5300282E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24281" w14:textId="77777777" w:rsidR="00C82EFB" w:rsidRPr="00C82EFB" w:rsidRDefault="00C82EFB" w:rsidP="00C82EFB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7F8E27E0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0B9CB47D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4D97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3BD814C2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11E7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1F1B43E1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7D77E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6BE2E4E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C82EFB" w:rsidRPr="00C82EFB" w14:paraId="3B2C9F1F" w14:textId="77777777" w:rsidTr="00C82EFB">
        <w:tc>
          <w:tcPr>
            <w:tcW w:w="5103" w:type="dxa"/>
            <w:shd w:val="clear" w:color="auto" w:fill="auto"/>
          </w:tcPr>
          <w:p w14:paraId="7A751E2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7A12B81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C82EFB" w:rsidRPr="00C82EFB" w14:paraId="7C66025A" w14:textId="77777777" w:rsidTr="00C82EFB">
        <w:tc>
          <w:tcPr>
            <w:tcW w:w="5103" w:type="dxa"/>
            <w:shd w:val="clear" w:color="auto" w:fill="auto"/>
          </w:tcPr>
          <w:p w14:paraId="39E14998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2D12430" w14:textId="77777777" w:rsidR="00C82EFB" w:rsidRPr="00C82EFB" w:rsidRDefault="00C82EFB" w:rsidP="00C82EFB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C82EFB" w:rsidRPr="00C82EFB" w14:paraId="7C278C19" w14:textId="77777777" w:rsidTr="00C82EFB">
        <w:tc>
          <w:tcPr>
            <w:tcW w:w="5103" w:type="dxa"/>
            <w:shd w:val="clear" w:color="auto" w:fill="auto"/>
          </w:tcPr>
          <w:p w14:paraId="70752A62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9E7DCD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2F0F61CC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C82EFB" w:rsidRPr="00C82EFB" w14:paraId="47F186E9" w14:textId="77777777" w:rsidTr="00C82EFB">
        <w:tc>
          <w:tcPr>
            <w:tcW w:w="5103" w:type="dxa"/>
            <w:shd w:val="clear" w:color="auto" w:fill="auto"/>
          </w:tcPr>
          <w:p w14:paraId="143695BE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0D1B5AD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6D78A226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C82EFB" w:rsidRPr="00C82EFB" w14:paraId="7DAF8570" w14:textId="77777777" w:rsidTr="00C82EFB">
        <w:tc>
          <w:tcPr>
            <w:tcW w:w="5103" w:type="dxa"/>
            <w:shd w:val="clear" w:color="auto" w:fill="auto"/>
          </w:tcPr>
          <w:p w14:paraId="17D18345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5BA5B3C0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EEDA3BD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Min.10 K und max. 20 K</w:t>
            </w:r>
          </w:p>
        </w:tc>
      </w:tr>
    </w:tbl>
    <w:p w14:paraId="519F1C9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88CE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28E2F8D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08E3F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74B63ED2" w14:textId="77777777" w:rsidR="00654B4A" w:rsidRPr="00C82EFB" w:rsidRDefault="00654B4A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49D15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selbstlimitierende (selbstbegrenzende) Parallelheizleitung ist mit einem Fluorpolymeraußenmantel ausgestattet und für eine Dauertemperaturbeständigkeit (+85°C dauerhaft eingeschaltet) ausgelegt, sowie VDE geprüft. Hinsichtlich der Heizbandleistung ist diese auf den jeweiligen Anwendungsfall anzupassen.</w:t>
      </w:r>
    </w:p>
    <w:p w14:paraId="242B17F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43BAA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 xml:space="preserve">Die Rohrstrecken sind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soweit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als möglich werkseitig vorzufertigen. Alle Schweißverbindungen müssen durch geprüfte Schweißer, auf Basis der geltenden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DVS Richtlinien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2207-1 und 2210-2, hergestellt werden. Örtliche Schweißverbindungen sind gemäß den Herstellerangaben als Heizwendelschweißungen (HW) durchzuführen.</w:t>
      </w:r>
    </w:p>
    <w:p w14:paraId="555C2A3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11454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174730" w14:textId="77777777" w:rsidR="00C82EFB" w:rsidRPr="00A70548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6F12C50A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3E1E1136" w14:textId="77777777" w:rsidR="00C82EFB" w:rsidRPr="00464909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797699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1E19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018B2" w14:textId="655A71D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6802D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6109C2" w14:textId="5C18BCD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Rohr; Innenrohr DE 110 x 4,2mm (getempert), Außenrohr, DE 160 x 6,2mm (getempert), </w:t>
      </w:r>
      <w:r w:rsidR="0078502E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70157E">
        <w:rPr>
          <w:rFonts w:ascii="Century Gothic" w:hAnsi="Century Gothic" w:cs="Arial"/>
          <w:color w:val="595959" w:themeColor="text1" w:themeTint="A6"/>
          <w:szCs w:val="22"/>
        </w:rPr>
        <w:t xml:space="preserve">ausgestattet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BC061D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776E5E" w14:textId="40A9738F" w:rsidR="00C82EFB" w:rsidRPr="00C82EFB" w:rsidRDefault="00C82EFB" w:rsidP="00C82E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bookmarkStart w:id="0" w:name="_Hlk38014397"/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bookmarkEnd w:id="0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D1FB91" w14:textId="1A061579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0ACC7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680A08" w14:textId="0DBA37B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Lohn.............................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04C2785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79FD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3A804" w14:textId="59CF646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2291665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0EE221" w14:textId="1F0C62B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125 x 4,8mm (getempert), Außenrohr DE 200 x 6,2mm (getempert), </w:t>
      </w:r>
      <w:r w:rsidR="003F3D4A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70157E">
        <w:rPr>
          <w:rFonts w:ascii="Century Gothic" w:hAnsi="Century Gothic" w:cs="Arial"/>
          <w:color w:val="595959" w:themeColor="text1" w:themeTint="A6"/>
          <w:szCs w:val="22"/>
        </w:rPr>
        <w:t xml:space="preserve">ausgestattet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70157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5m, entsprechend den Vorbemerkungen liefern, höhen- und fluchtgerecht verlegen, einschließlich aller Nebenarbeiten.</w:t>
      </w:r>
    </w:p>
    <w:p w14:paraId="3905E86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B0834B" w14:textId="2A21D59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01590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A9949C" w14:textId="2377EC7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CB6FFA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9D752" w14:textId="5ACD294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4464D1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D6B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5B3E2" w14:textId="0BB4DB9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3CC295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89D00" w14:textId="70B7763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160 x 6,2mm (getempert), Außenrohr DE 250 x 7,7mm (getempert), 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9DBD3C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85DC6" w14:textId="72202B60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6123EA9" w14:textId="1F09DF6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10.25.16.100-H</w:t>
      </w:r>
    </w:p>
    <w:p w14:paraId="24FAA9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33E80F" w14:textId="0CC0FBD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55A51DA" w14:textId="1652FD9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FDD8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30032" w14:textId="383D838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Rohr</w:t>
      </w:r>
    </w:p>
    <w:p w14:paraId="4F2B5C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6846" w14:textId="7ADED5C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200 x 6,2mm (getempert), Außenrohr DE 315 x 9,7mm (getempert),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46794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 entsprechend den Vorbemerkungen liefern, höhen- und fluchtgerecht verlegen, einschließlich aller Nebenarbeiten.</w:t>
      </w:r>
    </w:p>
    <w:p w14:paraId="051534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7C87CA" w14:textId="4A57688E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7208A7" w14:textId="39342E9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10.31.20.100-H</w:t>
      </w:r>
    </w:p>
    <w:p w14:paraId="06C2D8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799B" w14:textId="6483936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79D33B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CD0EC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5B4040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9A5D3E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C79814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8C7FC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20666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CF9D9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A3CD1F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9EE810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7B0158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C3AAD1" w14:textId="77777777" w:rsidR="00FC1D9F" w:rsidRPr="00C82EFB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0854C9" w14:textId="07055E67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72A9A0A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5D7D9" w14:textId="51BB939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46794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59B6994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396A8" w14:textId="3F32DF9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4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577EA6" w14:textId="28C8770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12.16.45-1145-H</w:t>
      </w:r>
    </w:p>
    <w:p w14:paraId="5CA29B6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12E09" w14:textId="456588E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C00B2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92710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44FB5" w14:textId="61ABF6B7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A02C5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8AA36" w14:textId="241A34D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46794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7F86C8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8BD7B" w14:textId="4EAC40DC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49FEB5" w14:textId="24BE943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11.20.45-1245-H</w:t>
      </w:r>
    </w:p>
    <w:p w14:paraId="03BD5C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98C9CA" w14:textId="4AE45D9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A8210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C6322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C808DB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FB160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7FE410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89B2C2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B3CED" w14:textId="49159962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1ED23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6BF980" w14:textId="1C6AEBC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 x 6,2mm, Außenrohr DE 250 x 7,7mm,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46794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164F702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E5B0B" w14:textId="6B236CE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047646C" w14:textId="3674F1A9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11.25.45-1645-H</w:t>
      </w:r>
    </w:p>
    <w:p w14:paraId="7DE482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739E52" w14:textId="098DD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88D8F2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8E2B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3F221" w14:textId="218FB59E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21CD4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D22FF" w14:textId="4B7EF9A0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E0477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6CA55D" w14:textId="344EB699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109B9B" w14:textId="191165E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11.31.45-2045-H</w:t>
      </w:r>
    </w:p>
    <w:p w14:paraId="7B2E53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FF5C4" w14:textId="75788B9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FC42CDB" w14:textId="4ABFD9A8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1223DD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3177A3" w14:textId="77777777" w:rsidR="00FC1D9F" w:rsidRDefault="00FC1D9F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D691A" w14:textId="77777777" w:rsidR="00FC1D9F" w:rsidRDefault="00FC1D9F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3ACE6" w14:textId="77777777" w:rsidR="00FC1D9F" w:rsidRDefault="00FC1D9F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D63341" w14:textId="77777777" w:rsidR="00FC1D9F" w:rsidRDefault="00FC1D9F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F6A8E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30BA9B0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A5814" w14:textId="4CE44E44" w:rsidR="002B7A36" w:rsidRPr="00C82EFB" w:rsidRDefault="002B7A36" w:rsidP="002B7A3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46794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3071A666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095434" w14:textId="77777777" w:rsidR="002B7A36" w:rsidRPr="00C82EFB" w:rsidRDefault="002B7A36" w:rsidP="002B7A36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EFFB65" w14:textId="3D7E99F8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12.16.88-1188-H</w:t>
      </w:r>
    </w:p>
    <w:p w14:paraId="7C8C4DD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356D9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8779495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21DF44" w14:textId="77777777" w:rsidR="00B92887" w:rsidRDefault="00B92887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9A06E" w14:textId="2AB9158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A8C71C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4D220" w14:textId="4C9977F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32E0D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D1C5A7" w14:textId="528579D5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988824" w14:textId="3CE587D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12.16.47-1147-H</w:t>
      </w:r>
    </w:p>
    <w:p w14:paraId="30AB7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190ED" w14:textId="7EF8E84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601B7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4D191" w14:textId="2DF3EFBE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A9780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781C5D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CC348F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BC57BD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86C8A" w14:textId="402BDFB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0789A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8E021" w14:textId="3729820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41B2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6A3A5" w14:textId="631A2113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30DAAB" w14:textId="369CC47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12.20.47-1247-H</w:t>
      </w:r>
    </w:p>
    <w:p w14:paraId="454190E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11CB9" w14:textId="093E881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97DC7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1F85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07685" w14:textId="4648E4B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197FBB8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495958" w14:textId="5F5E6BA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CF56D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8042C" w14:textId="1906F402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74D185" w14:textId="4E6E82B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12.25.47-1647-H</w:t>
      </w:r>
    </w:p>
    <w:p w14:paraId="6796A4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CAE2D" w14:textId="4D6F77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22A9C5" w14:textId="4842F5A3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D659A9" w14:textId="793A945D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6B32EC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FFE39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8C3EB3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A6C6FD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7D7F6" w14:textId="215CB64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184D9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07FFE" w14:textId="11CB1D0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85B16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D1E61" w14:textId="5F24257B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032C15" w14:textId="4455272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12.31.47-2047-H</w:t>
      </w:r>
    </w:p>
    <w:p w14:paraId="54BEE7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69DE4" w14:textId="1AF7AEE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40A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3B7B" w14:textId="77777777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2D541" w14:textId="3BC716C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764BC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26EBE95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62A5F0" w14:textId="22DDD191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A84B60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86CE9" w14:textId="77777777" w:rsidR="005D5800" w:rsidRPr="00C82EFB" w:rsidRDefault="005D5800" w:rsidP="005D5800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586E0DD" w14:textId="3825F2BB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</w:t>
      </w:r>
      <w:r w:rsidR="00752786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626D5D4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0EC6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098E874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1A9238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0A33CF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96BE9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A2464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9CA065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682D5B" w14:textId="62137372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52A0F30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98D7EC" w14:textId="29442BF7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9A033EE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F4F7F8" w14:textId="77777777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D9BC03" w14:textId="32BD752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450E8D8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58C7C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AF5765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CA896D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54002" w14:textId="0C50D61D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09057E9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D750D6" w14:textId="017AA32A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944E8A1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9D158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C4F6F87" w14:textId="184746F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7E764A35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09CDF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302AC4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87241D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EEDFA4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C1DDA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7CDEE" w14:textId="77777777" w:rsidR="00FC1D9F" w:rsidRDefault="00FC1D9F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58275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AB9DE" w14:textId="1EB08BB8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6B493AC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601EC2" w14:textId="141C36B2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988E319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7D223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9602DB" w14:textId="58D23A8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FF8367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F5CB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10D68D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30F1C8" w14:textId="77777777" w:rsidR="00BD07AF" w:rsidRDefault="00BD07A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1F19A" w14:textId="23AD2D5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1FAE8F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6BE19" w14:textId="3B03017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</w:t>
      </w:r>
      <w:r w:rsidR="00C41AAC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C41AAC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C41AAC">
        <w:rPr>
          <w:rFonts w:ascii="Century Gothic" w:hAnsi="Century Gothic" w:cs="Arial"/>
          <w:color w:val="595959" w:themeColor="text1" w:themeTint="A6"/>
          <w:szCs w:val="22"/>
        </w:rPr>
        <w:t xml:space="preserve"> eingebaut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74768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A52EA" w14:textId="1655ED8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A9B814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BC137B" w14:textId="196B0DF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7C442B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4C055" w14:textId="6A72834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E9374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BEE45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0066D6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5DF11A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0A3B39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094509" w14:textId="77777777" w:rsidR="00FC1D9F" w:rsidRPr="00C82EFB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9A067B" w14:textId="5BA40D8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17F74A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4AF7E" w14:textId="19FFC90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eingebaut,</w:t>
      </w:r>
      <w:r w:rsidR="00D11D9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FCD37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B366A" w14:textId="4B3C3863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C332B5" w14:textId="7D5BF211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0D7D3E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06198" w14:textId="0CF46F2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3CCC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3C22D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6CEDB3" w14:textId="439DF7A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0FE7AC1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C1D3CF" w14:textId="0926625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160 x 6,2mm, Außenrohr DE 250 x 7,7mm, 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eingebaut,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7E783C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7C32F" w14:textId="41D422C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C7C401" w14:textId="1E71A72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5DB743B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D85F1" w14:textId="5FB66B0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DF84CC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5C9854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C2D93F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A94B36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D040E" w14:textId="77777777" w:rsidR="00FC1D9F" w:rsidRPr="00C82EFB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78E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3C6DBD" w14:textId="3B58F3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424AEF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E567FE" w14:textId="5BA36BA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200 x 6,2mm, Außenrohr DE 315 x 9,7mm,Formteilenden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eingebaut,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ED366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18DD9" w14:textId="63E91FF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ABAED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5EAB32" w14:textId="2096FE3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2CDA6F3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BB507" w14:textId="3DF61A9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05EE865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9DBAF6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1A4BFB" w14:textId="519961EF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Rohrende</w:t>
      </w:r>
    </w:p>
    <w:p w14:paraId="4FE1A32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C7672" w14:textId="2FEDC688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endet im</w:t>
      </w:r>
      <w:r w:rsidR="00C75E9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Ringraum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1098A92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9D869F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7542529B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C680424" w14:textId="2766DB0A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0D738810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77D05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C3ECEC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651E36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01957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DCCC98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F22B54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293248" w14:textId="77777777" w:rsidR="00FC1D9F" w:rsidRPr="00C82EFB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4B67D" w14:textId="2BEF40AB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4B19AE1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818D9" w14:textId="48EF0868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0A1DFFAC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E61DDC" w14:textId="77777777" w:rsidR="00E214D5" w:rsidRPr="00C82EFB" w:rsidRDefault="00E214D5" w:rsidP="00E214D5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14597E" w14:textId="4FE61636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55B9DEB6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A1BED6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62305F7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9FBABD" w14:textId="77777777" w:rsidR="00D571B8" w:rsidRDefault="00D571B8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ABE1F" w14:textId="0EE4A7EC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2C7C92AA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1350B6" w14:textId="631AAE53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160 x 6,2mm, Außenrohr DE 250 x 7,7mm, Formteilenden verlängert zum Heizwendelschweißen (HM),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7A0C1E7F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FAD9CF" w14:textId="77777777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B82B4C9" w14:textId="1522621D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405E7403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956DA3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9BB1D3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66AB66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C18F2E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CED73A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CD8F0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3636D" w14:textId="77777777" w:rsidR="00FC1D9F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6569B" w14:textId="77777777" w:rsidR="00FC1D9F" w:rsidRPr="00C82EFB" w:rsidRDefault="00FC1D9F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01BA8E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5EAE54" w14:textId="3919A753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2152B711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45C5E3" w14:textId="0E160619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200 x 6,2mm, Außenrohr DE 315 x 9,7mm,</w:t>
      </w:r>
      <w:r w:rsidR="008E584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78C596F0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C7098" w14:textId="77777777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B8575A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BF342" w14:textId="119EA469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2AB00378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81D9ED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63299DF5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19E5FA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D29F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750DC1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17A6D6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A6822BB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4809223F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1739B36" w14:textId="2B7E6E1B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B1635AA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15ACCC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92F9A2" w14:textId="7DF4982A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15.20.16-1211-H</w:t>
      </w:r>
    </w:p>
    <w:p w14:paraId="117F886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1AFD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29E48B3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CFC2B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1C42F2" w14:textId="77777777" w:rsidR="00FC1D9F" w:rsidRDefault="00FC1D9F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9AD463" w14:textId="77777777" w:rsidR="00FC1D9F" w:rsidRDefault="00FC1D9F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372144" w14:textId="77777777" w:rsidR="00FC1D9F" w:rsidRDefault="00FC1D9F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22D2E4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301436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849B31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4428489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6E35E87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BAE241A" w14:textId="01E3BF6E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2ABE91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9E38F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3BB473" w14:textId="2C52DC8C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15.25.16-1611-H</w:t>
      </w:r>
    </w:p>
    <w:p w14:paraId="21866EE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59669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9C08991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6A3EB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3DCE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E6F34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43F297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8BE518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4849F37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580D229F" w14:textId="68CAF84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F60F2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B0C38F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AFDBF" w14:textId="193386E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15.25.20-1612-H</w:t>
      </w:r>
    </w:p>
    <w:p w14:paraId="0BF5561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471B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5BA7C21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23DCC5" w14:textId="77777777" w:rsidR="00FC1D9F" w:rsidRDefault="00FC1D9F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B30C03" w14:textId="77777777" w:rsidR="00FC1D9F" w:rsidRPr="00C82EFB" w:rsidRDefault="00FC1D9F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38B5E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A68C4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506025D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9926E4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575B49E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F9F0F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5428560E" w14:textId="1870D0DC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A7A2F8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D283A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7D1408" w14:textId="4DA39AA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15.31.16-2011-H</w:t>
      </w:r>
    </w:p>
    <w:p w14:paraId="5176646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59F2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AE8553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191C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657E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4B1330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09726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AB35855" w14:textId="77777777" w:rsidR="00AC59AA" w:rsidRPr="00C82EFB" w:rsidRDefault="00AC59AA" w:rsidP="00AC59AA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D50925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709F450" w14:textId="70C4B559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3EE4E1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36CEEE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9AD3CA1" w14:textId="3B0959BF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15.31.20-2012-H</w:t>
      </w:r>
    </w:p>
    <w:p w14:paraId="45FBC0D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27FA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48716CF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82DC70" w14:textId="77777777" w:rsidR="00AC59AA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3B7C0F" w14:textId="77777777" w:rsidR="00FC1D9F" w:rsidRDefault="00FC1D9F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F99B09" w14:textId="77777777" w:rsidR="00FC1D9F" w:rsidRPr="00C82EFB" w:rsidRDefault="00FC1D9F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F9B58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– Reduktion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konzentrisch</w:t>
      </w:r>
    </w:p>
    <w:p w14:paraId="09072C9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6DB2C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00531D4A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0F97633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3DC726AE" w14:textId="288FF6DD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C23AB4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6F569B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A438A" w14:textId="456E03AE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15.31.25-2016-H</w:t>
      </w:r>
    </w:p>
    <w:p w14:paraId="5ADDC6B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C720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72750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83269" w14:textId="77777777" w:rsidR="00AE78B9" w:rsidRPr="00C82EFB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D713B" w14:textId="5F21261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C7DC8F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71440E" w14:textId="165D1E40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797C634" w14:textId="4C4C9A43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B6FF6" w14:textId="4B05459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231D9D" w14:textId="35FE4F2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7033E36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8D32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B9FB2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3DB1F3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0778CC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220464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E4DB8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59CB3A" w14:textId="62D4F55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7D621F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F6D89" w14:textId="7565945D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E22218" w14:textId="6CC9E241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42B914" w14:textId="7AD3938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C2FD3F" w14:textId="5267542B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657A309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67DA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D301C8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024B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C50A0D" w14:textId="1C6EAD2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0F1F762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7B9E5C" w14:textId="08D43599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95A72E5" w14:textId="6C76FAB9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688E4" w14:textId="2F28A99C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5EE7A87" w14:textId="75314181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8DF75D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B9A3E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D1E87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F76A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459F3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11C459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8E18EE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9C8A0C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B2C0BD" w14:textId="306F3B6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198FB4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CFAC8" w14:textId="646059BC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D3039D5" w14:textId="684DAE3C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7920B" w14:textId="739E3536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F1A9EF6" w14:textId="1FB9A315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B51440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B490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11CBFB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F3E890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D934F" w14:textId="3F0427E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D7923F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0DBEF0" w14:textId="68F2F6FA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3E79414" w14:textId="3B62CA4A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882F4" w14:textId="529E546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34B39D" w14:textId="6153BD1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5FDB7A3B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D0E5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4CD2F5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BA1C58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552EBE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6A11F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604A7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13D33" w14:textId="1BCCF38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3257F2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04E33" w14:textId="4A76B877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E635365" w14:textId="1EA4B247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832BD9" w14:textId="41E39A9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A35FBB8" w14:textId="3CFACFF6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406C48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DF3C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6D6AB0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A2BC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768AD" w14:textId="0DFF5F5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46E7825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753588" w14:textId="66520553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7E9451A" w14:textId="1B936A44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0CD394" w14:textId="25959FE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1DCC81" w14:textId="5BC8710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03B2E6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F1DF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6DCBD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FE47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50E5E4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BE45EF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E9ADF" w14:textId="27F7A3A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AC83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22F65" w14:textId="555D5C47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62B78C8" w14:textId="3350F502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58DA3" w14:textId="7123EF7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D77F28" w14:textId="3FEA75D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335EC5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7772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763E9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F63B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0A716" w14:textId="4E789FE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0C36E7C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2EBB6" w14:textId="085D678B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D243787" w14:textId="462986C0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72FFB2" w14:textId="31FA35B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oder gleichwertig</w:t>
      </w:r>
    </w:p>
    <w:p w14:paraId="13C83EB6" w14:textId="1DC829C5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041A86F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76F3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27C82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DF2D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BE81EE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28A29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43167" w14:textId="7BA82B3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C4847A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CAF7B" w14:textId="4E389E3C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7631675" w14:textId="5E54DBBF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61643D" w14:textId="529D5DA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4F5AEB" w14:textId="00A6B6E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D5FAC4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127D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C431DB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85DA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ED8D1" w14:textId="4998E37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2B20A66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4E9518" w14:textId="4940BD14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2394FF0" w14:textId="74BA7A87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BC8586" w14:textId="708133FE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5B4FA2" w14:textId="38F866A6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C0AA72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BC8BC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F4BBCC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CA208F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857B37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8E18EC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968DB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35468" w14:textId="6074DD6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077A10D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246D71" w14:textId="1DD606EE" w:rsidR="00143C84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A06F115" w14:textId="77777777" w:rsidR="00143C84" w:rsidRPr="00C82EFB" w:rsidRDefault="00143C84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78CEAC" w14:textId="1467F816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39D969F" w14:textId="463C7D4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FA8083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50C1A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223E6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A8920E" w14:textId="77777777" w:rsidR="00F73309" w:rsidRPr="005F14F0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DC743" w14:textId="534CB974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6C320EB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307C60" w14:textId="1ED5B007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A497368" w14:textId="02205D19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D4F93" w14:textId="31FCB53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B42785F" w14:textId="2ABEFA5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01090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CD83B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80056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B7D237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37676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A2B0BC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7CBE7D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5B520D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6D52BB" w14:textId="200877D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5B0BC006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86D49" w14:textId="44C76485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CD29C30" w14:textId="56255EF0" w:rsidR="009876FF" w:rsidRPr="005F14F0" w:rsidRDefault="009876FF" w:rsidP="009876F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BEE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548D7" w14:textId="5C47999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882FAF" w14:textId="328CB07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D99FC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710AD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7B3203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335D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3A804C" w14:textId="018278F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358A9F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F8C3B" w14:textId="249FC11F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2A8A798" w14:textId="49C37106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325221" w14:textId="104BC93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8582A6" w14:textId="0B4EE6A4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30F1D8C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16D051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4294D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548E5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3CAFD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78081" w14:textId="25CA05E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D19A6E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A23BF" w14:textId="35D920AD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4AA979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85B01B" w14:textId="6ABDFAB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C1BD26" w14:textId="39CA986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21821D4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A997F7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37A58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D66B8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93148" w14:textId="47DDCF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21452F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01773C" w14:textId="2E6D7798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C42AA03" w14:textId="034821DA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80E724" w14:textId="4FEAF45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03036CF" w14:textId="2CB1A101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24B357E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3EFA7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1AF1F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5E0D0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4EA48B" w14:textId="64E9563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B0B330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92450" w14:textId="4AD7299C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DB2BEB4" w14:textId="50F2FF1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4ACDEA" w14:textId="4E500E2A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CA71A1" w14:textId="34FFDE23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667635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7434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BDD1BE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83C1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47817" w14:textId="77CCB4D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19FE39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A628AD" w14:textId="0AC37A25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0F25302" w14:textId="3073647E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73F08" w14:textId="2007C00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2E9DE70" w14:textId="429AC71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510741E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94019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9CC37E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3CE4D" w14:textId="77777777" w:rsidR="00FC1D9F" w:rsidRDefault="00FC1D9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4098B8" w14:textId="42337E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A2FBD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F90FF" w14:textId="71C7CB13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F91CEBE" w14:textId="0D1A2C0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B527D1" w14:textId="652665EB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4BC539C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600E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829FE8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8AB7C3" w14:textId="77777777" w:rsidR="00773A89" w:rsidRPr="00C82EFB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89519" w14:textId="5DE612D8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mit dir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ektem Endübergang</w:t>
      </w:r>
    </w:p>
    <w:p w14:paraId="1E3CB1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233AB" w14:textId="123F7E2B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A6742B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</w:t>
      </w:r>
      <w:r w:rsidR="00A454F5">
        <w:rPr>
          <w:rFonts w:ascii="Century Gothic" w:hAnsi="Century Gothic" w:cs="Arial"/>
          <w:color w:val="595959" w:themeColor="text1" w:themeTint="A6"/>
          <w:szCs w:val="22"/>
        </w:rPr>
        <w:t xml:space="preserve">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764F412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44549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12C6D5" w14:textId="41FD2748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16161111-H</w:t>
      </w:r>
    </w:p>
    <w:p w14:paraId="5F628D8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C5E1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B118CD7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54E5B4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2885F8" w14:textId="77777777" w:rsidR="00FC1D9F" w:rsidRDefault="00FC1D9F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DCD101" w14:textId="77777777" w:rsidR="00FC1D9F" w:rsidRDefault="00FC1D9F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8A0BE" w14:textId="3D432AD2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22B6DF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7825D" w14:textId="7DD05659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1C10280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89C4BC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D5124" w14:textId="445E94BD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20201212-H</w:t>
      </w:r>
    </w:p>
    <w:p w14:paraId="652E9AA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F105CA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77E489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87208F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8B7B0" w14:textId="1725299E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48AB95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831EAB" w14:textId="1B7760E6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63C705F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FB5DE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E0D8D2" w14:textId="035CAD9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25251616-H</w:t>
      </w:r>
    </w:p>
    <w:p w14:paraId="5EEABB9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B7EBF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AA5F00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B2EFC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6EB38C" w14:textId="77777777" w:rsidR="00FC1D9F" w:rsidRDefault="00FC1D9F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36E2F1" w14:textId="77777777" w:rsidR="00FC1D9F" w:rsidRDefault="00FC1D9F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E92B1" w14:textId="09981259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15E917B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FFD4DA" w14:textId="521276B4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15716D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8959FBD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1DE8E7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97CDE8E" w14:textId="56FDF1E5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31312020-H</w:t>
      </w:r>
    </w:p>
    <w:p w14:paraId="6672B1FE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23574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65B047C" w14:textId="77777777" w:rsidR="00AE78B9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5CF881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5CC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3F56F0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B25CED" w14:textId="150687C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110 mm (Typ „Akatherm“) für die Verbindung des Innenrohrs (für die Verbindung des Außenrohrs, wird eine Langmuffe -</w:t>
      </w:r>
      <w:r w:rsidR="007824F0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160mm benötigt!), liefern und montieren, einschließlich aller Nebenarbeiten.</w:t>
      </w:r>
    </w:p>
    <w:p w14:paraId="2AA3DF1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16963" w14:textId="6E87F8B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1024EF7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740406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7BD990" w14:textId="1E725A3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5645D8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527A89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635573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96181A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F024E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C0ADFC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04D138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E8DB28" w14:textId="77777777" w:rsidR="00FC1D9F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0DBE9F" w14:textId="77777777" w:rsidR="00FC1D9F" w:rsidRPr="00C82EFB" w:rsidRDefault="00FC1D9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27C30" w14:textId="61C8441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390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650EF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A04CD25" w14:textId="426C611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053EFB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8FA6" w14:textId="6CF108A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BCB8FC" w14:textId="0646F8C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231161A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D2AA6" w14:textId="648C6F0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E49097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BB3B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9680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339920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7512D5" w14:textId="4316FB4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125 mm (Typ „Akatherm“) für die Verbindung des Innenrohrs (für die Verbindung des Außenrohrs, wird eine Langmuffe -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200mm benötigt!), liefern und montieren, einschließlich aller Nebenarbeiten.</w:t>
      </w:r>
    </w:p>
    <w:p w14:paraId="6A6021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B1785" w14:textId="5AA5921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2FC20436" w14:textId="41C0CB0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41285C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5DA70" w14:textId="2B3C689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849C7A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7CA6F6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369F6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A0ED7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69728C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B02CC5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BA49DB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3463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5FC05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977279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A7359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35FCDE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A1AA2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82261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5122FF" w14:textId="77777777" w:rsidR="00342C5D" w:rsidRPr="00C82EFB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0999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25C163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CE2AE8" w14:textId="73F1758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2D50CCB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CA586F" w14:textId="48550E0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AF4688" w14:textId="20C6D31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F31AFB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DDC6F" w14:textId="02EA9E3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6E84F0" w14:textId="4EC8E1C6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795EA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EB35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1C630DB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2CC53" w14:textId="1C538BBD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Heizwendelschweißmuffe DE 160 mm (Typ „Akatherm“) für die Verbindung des Innenrohrs (für die Verbindung des Außenrohrs, wird eine Langmuffe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gramStart"/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GH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Typ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„Akatherm“ - DE 250mm benötigt!), liefern und montieren, einschließlich aller Nebenarbeiten.</w:t>
      </w:r>
    </w:p>
    <w:p w14:paraId="2F355C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F431D" w14:textId="09B0D16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92E72F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55FD803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C9BF0" w14:textId="0A3780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F673DD9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C36F21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6E7499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53B0C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69DC70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CCC0C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EDB923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CD2C3D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E7E1FE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4BC43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C889E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4091B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0AD70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5DEE43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BC8AD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36A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6CB89BC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13C990E" w14:textId="4C74B89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0CC8627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76216E" w14:textId="7537559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ED7921" w14:textId="12C3295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54CA2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3CBB7" w14:textId="6EFB65A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DAE0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08F6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9671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BF491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81CBC2" w14:textId="35E870B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200 mm (Typ „Akatherm“) für die Verbindung des Innenrohrs (für die Verbindung des Außenrohrs, wird eine Langmuffe -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315mm benötigt!), liefern und montieren, einschließlich aller Nebenarbeiten.</w:t>
      </w:r>
    </w:p>
    <w:p w14:paraId="4E72A8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499CA" w14:textId="62580B8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8ACA94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62E7134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ABE97" w14:textId="6D697E9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3CE8B1C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BC0CA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91933A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F192C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D609FC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7192DB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E5FFE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F7DA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3A8ED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78C37D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08EC5E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45CB0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975CB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63C91C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B8C5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2AA4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DDAE1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1105DB3" w14:textId="253A3EE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- Langmuffe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-GH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0BE76A2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E12B7F" w14:textId="1B65E00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4E773D" w14:textId="3BE07DD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141194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749D60" w14:textId="0E52D55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C6563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6932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C2DED4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DAE41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01E7C9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7B026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62C2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FC38E1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2224E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6CC898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74980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F7700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4D9A64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9B85D9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DFF953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93192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6F99CA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758BF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5C4AD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BA0B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764D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9B63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AA898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92BB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38366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1C4D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DFE3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EE285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59955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647F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7714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7AA7A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B93CF2E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</w:p>
    <w:p w14:paraId="007FEEC8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6F824AE" w14:textId="4DE0F9F3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D2207B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6D7C74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- PE-Abfluss-Doppelrohr Abzweigschacht Typ 1 </w:t>
      </w:r>
      <w:proofErr w:type="gramStart"/>
      <w:r w:rsidRPr="00D2207B">
        <w:rPr>
          <w:rFonts w:ascii="Century Gothic" w:hAnsi="Century Gothic" w:cs="Arial"/>
          <w:color w:val="595959" w:themeColor="text1" w:themeTint="A6"/>
          <w:szCs w:val="22"/>
        </w:rPr>
        <w:t>( 250</w:t>
      </w:r>
      <w:proofErr w:type="gramEnd"/>
      <w:r w:rsidRPr="00D2207B">
        <w:rPr>
          <w:rFonts w:ascii="Century Gothic" w:hAnsi="Century Gothic" w:cs="Arial"/>
          <w:color w:val="595959" w:themeColor="text1" w:themeTint="A6"/>
          <w:szCs w:val="22"/>
        </w:rPr>
        <w:t>/160 [160/110] 250/160 )</w:t>
      </w:r>
    </w:p>
    <w:p w14:paraId="38A3FFA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bestehend aus:</w:t>
      </w:r>
    </w:p>
    <w:p w14:paraId="06928F52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Schachtkörper aus PE100 Vollwandrohr 1200 x 43mm SDR 26; H= 2,0m</w:t>
      </w:r>
    </w:p>
    <w:p w14:paraId="3F90E95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aufgeschweißter </w:t>
      </w:r>
      <w:proofErr w:type="gramStart"/>
      <w:r w:rsidRPr="00D2207B">
        <w:rPr>
          <w:rFonts w:ascii="Century Gothic" w:hAnsi="Century Gothic" w:cs="Arial"/>
          <w:color w:val="595959" w:themeColor="text1" w:themeTint="A6"/>
          <w:szCs w:val="22"/>
        </w:rPr>
        <w:t>PE Boden</w:t>
      </w:r>
      <w:proofErr w:type="gramEnd"/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1400 x 1400 x 30mm</w:t>
      </w:r>
    </w:p>
    <w:p w14:paraId="3555BE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3571585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1x Doppelrohrsensorendübergang (Übergang von Doppel- auf Einzelrohr) de 160x6,2mm, Innenrohr DE 110x4,2mm, Zulauf 2 </w:t>
      </w:r>
    </w:p>
    <w:p w14:paraId="58563A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Doppelrohrendübergang (Übergang von Doppel- auf Einzelrohr) de 250x7,7mm, Innenrohr de 160x6,2mm, Ablauf 3</w:t>
      </w:r>
    </w:p>
    <w:p w14:paraId="7F066C4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im Schacht wird die Rohrleitung de 160x6,2mm geschlossen geführt</w:t>
      </w:r>
    </w:p>
    <w:p w14:paraId="3474489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Einzelrohr-Abzweig 45° de 160x6,2 auf 110x4,2mm mit Bogen nach oben zum seitlichen Zulauf 2 wird in die durchgehende Hauptleitung eingeschweißt</w:t>
      </w:r>
    </w:p>
    <w:p w14:paraId="6C10B0D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in Fließrichtung nach dem Abzweig 45° wird ein ovales Putzstück in die Hauptleitung eingeschweißt</w:t>
      </w:r>
    </w:p>
    <w:p w14:paraId="575C79C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11B97DB9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2x 1/2" IG Muffe/Stopfen zur Ringraumprüfung </w:t>
      </w:r>
    </w:p>
    <w:p w14:paraId="1418EA4B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4 Halter für die Einstiegsleiter lose mitgeliefert</w:t>
      </w:r>
    </w:p>
    <w:p w14:paraId="1AE0E8A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414B4635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2xTragösen</w:t>
      </w:r>
    </w:p>
    <w:p w14:paraId="7FD147C6" w14:textId="4AE1AD21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Das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wird jeweils an den Endübergängen in den Schacht geführt. Incl. Kabelverschraubung. Im Schacht muss das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um die Rohrleitung gelegt, Fixiert und nachträglich wasserdicht gedämmt werden. </w:t>
      </w:r>
    </w:p>
    <w:p w14:paraId="1ABB860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eine Schachtabdeckung, Einstiegsleiter sind nicht im Schachtpreis enthalten</w:t>
      </w:r>
    </w:p>
    <w:p w14:paraId="27122B70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Nach Zeichnungsnummer </w:t>
      </w:r>
      <w:r>
        <w:rPr>
          <w:rFonts w:ascii="Century Gothic" w:hAnsi="Century Gothic" w:cs="Arial"/>
          <w:color w:val="595959" w:themeColor="text1" w:themeTint="A6"/>
          <w:szCs w:val="22"/>
        </w:rPr>
        <w:t>A…</w:t>
      </w:r>
      <w:proofErr w:type="gramStart"/>
      <w:r>
        <w:rPr>
          <w:rFonts w:ascii="Century Gothic" w:hAnsi="Century Gothic" w:cs="Arial"/>
          <w:color w:val="595959" w:themeColor="text1" w:themeTint="A6"/>
          <w:szCs w:val="22"/>
        </w:rPr>
        <w:t>…….</w:t>
      </w:r>
      <w:proofErr w:type="gramEnd"/>
      <w:r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gefertigt</w:t>
      </w:r>
    </w:p>
    <w:p w14:paraId="7F19408D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06CE4B66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F4A5E" w14:textId="77777777" w:rsidR="00A279DC" w:rsidRPr="005F14F0" w:rsidRDefault="00A279DC" w:rsidP="00A279D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44C879" w14:textId="77777777" w:rsidR="00A279DC" w:rsidRPr="005F14F0" w:rsidRDefault="00A279DC" w:rsidP="00A279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41CB9902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9AD68" w14:textId="77777777" w:rsidR="00A279DC" w:rsidRPr="005F14F0" w:rsidRDefault="00A279DC" w:rsidP="00A279D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E33CB" w14:textId="77777777" w:rsidR="00A279DC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B826E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BA69A8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586BB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00FE2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AF1731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10BC7A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319E04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BB1567" w14:textId="77777777" w:rsidR="00342C5D" w:rsidRDefault="00342C5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64F93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04CB72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E4F51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D7CC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8EF4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</w:p>
    <w:p w14:paraId="06606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ABCA93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72B5B93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bestehend aus Übergang vom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an 230V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Stromanschluß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Verschluß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vom Heizbandende mit Fluorpolymeraußenmantel in Schrumpftechnik</w:t>
      </w:r>
    </w:p>
    <w:p w14:paraId="409053D1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120°C </w:t>
      </w:r>
    </w:p>
    <w:p w14:paraId="7BEC601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362FA3D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ADDD4D" w14:textId="0549268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50FBD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HEIZBANDANAB</w:t>
      </w:r>
    </w:p>
    <w:p w14:paraId="17E67C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3F09CF" w14:textId="68F77CE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67F8E2" w14:textId="79806BCF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4D617" w14:textId="0A860DCB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3AFC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Heizbandverbinder</w:t>
      </w:r>
    </w:p>
    <w:p w14:paraId="380E7A39" w14:textId="1727115C" w:rsidR="00C82EFB" w:rsidRPr="00C82EFB" w:rsidRDefault="00C82EFB" w:rsidP="00E66EB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1E73B4D3" w14:textId="6583584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Heizbandverbinder für Heizbänder mit Fluorpolymeraußenmantel in Schrumpftechnik</w:t>
      </w:r>
    </w:p>
    <w:p w14:paraId="57ECCD81" w14:textId="4EA70755" w:rsid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</w:t>
      </w:r>
      <w:r w:rsidR="00EB6B48">
        <w:rPr>
          <w:rFonts w:ascii="Century Gothic" w:hAnsi="Century Gothic" w:cs="Arial"/>
          <w:color w:val="595959" w:themeColor="text1" w:themeTint="A6"/>
          <w:szCs w:val="22"/>
        </w:rPr>
        <w:t>85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°C</w:t>
      </w:r>
    </w:p>
    <w:p w14:paraId="0CF87FA3" w14:textId="1003CF58" w:rsidR="00EB6B48" w:rsidRPr="00C82EFB" w:rsidRDefault="00EB6B48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832471">
        <w:rPr>
          <w:rFonts w:ascii="Century Gothic" w:hAnsi="Century Gothic" w:cs="Arial"/>
          <w:color w:val="595959" w:themeColor="text1" w:themeTint="A6"/>
          <w:szCs w:val="22"/>
        </w:rPr>
        <w:t>Klemmquerschnitt bis 1,5mm²</w:t>
      </w:r>
    </w:p>
    <w:p w14:paraId="3294B950" w14:textId="5CD28F32" w:rsidR="00C82EFB" w:rsidRPr="00C82EFB" w:rsidRDefault="005138B4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Verbindung mit </w:t>
      </w:r>
      <w:r w:rsidR="00832471">
        <w:rPr>
          <w:rFonts w:ascii="Century Gothic" w:hAnsi="Century Gothic" w:cs="Arial"/>
          <w:color w:val="595959" w:themeColor="text1" w:themeTint="A6"/>
          <w:szCs w:val="22"/>
        </w:rPr>
        <w:t xml:space="preserve">isolierten Stoßverbindern </w:t>
      </w:r>
      <w:r w:rsidR="00A47A0F">
        <w:rPr>
          <w:rFonts w:ascii="Century Gothic" w:hAnsi="Century Gothic" w:cs="Arial"/>
          <w:color w:val="595959" w:themeColor="text1" w:themeTint="A6"/>
          <w:szCs w:val="22"/>
        </w:rPr>
        <w:t xml:space="preserve">in </w:t>
      </w:r>
      <w:r>
        <w:rPr>
          <w:rFonts w:ascii="Century Gothic" w:hAnsi="Century Gothic" w:cs="Arial"/>
          <w:color w:val="595959" w:themeColor="text1" w:themeTint="A6"/>
          <w:szCs w:val="22"/>
        </w:rPr>
        <w:t>Quetschtechnik</w:t>
      </w:r>
    </w:p>
    <w:p w14:paraId="0E95F7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82C1C5" w14:textId="199769E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15058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HEIZBANDVERBIN</w:t>
      </w:r>
    </w:p>
    <w:p w14:paraId="025AD1A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A0D1F" w14:textId="6AB92D5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5464399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73424C" w14:textId="77777777" w:rsidR="004D03B5" w:rsidRDefault="004D03B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F662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EC8BF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5F59E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37C653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05EA6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062E8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CD8EC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EBE9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6C2A6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E3A1B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46A3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D3ED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3507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9E00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8686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</w:p>
    <w:p w14:paraId="3BDD41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Regler mit Fühler</w:t>
      </w:r>
    </w:p>
    <w:p w14:paraId="3238E36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 </w:t>
      </w:r>
    </w:p>
    <w:p w14:paraId="4B786FC9" w14:textId="77777777" w:rsidR="00C82EFB" w:rsidRP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Elektronisches Universalregelgerät</w:t>
      </w:r>
    </w:p>
    <w:p w14:paraId="6665408B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Einsatz im nicht-explosionsgefährdeten Bereich.</w:t>
      </w:r>
    </w:p>
    <w:p w14:paraId="5569FC1F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Verwendbar für Außen- u. Inneneinstellung</w:t>
      </w:r>
    </w:p>
    <w:p w14:paraId="5DFA131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Fühler verlängerbar auf 100m</w:t>
      </w:r>
    </w:p>
    <w:p w14:paraId="5DBC4847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Einstellbare Hysterese</w:t>
      </w:r>
    </w:p>
    <w:p w14:paraId="1B2DB897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Schalttemperaturdifferenz +/-0,5-5K bzw. +/-0,5-10K</w:t>
      </w:r>
    </w:p>
    <w:p w14:paraId="440F48C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Schalttemperaturbereich: 0…+60°C</w:t>
      </w:r>
    </w:p>
    <w:p w14:paraId="1968D96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Umgebungstemperatur: -20…+50°C</w:t>
      </w:r>
    </w:p>
    <w:p w14:paraId="66694B10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Schaltstrom: 16A (rein ohmsche Last)</w:t>
      </w:r>
    </w:p>
    <w:p w14:paraId="70718E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Gehäuseabmessungen: 122x120x56mm </w:t>
      </w:r>
    </w:p>
    <w:p w14:paraId="4F6D63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Schutzart/klasse: IP65 nach EN 60529</w:t>
      </w:r>
    </w:p>
    <w:p w14:paraId="3287BC38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Anzeigelampen: Relais AN/Fühlerbruch</w:t>
      </w:r>
    </w:p>
    <w:p w14:paraId="1C4C871D" w14:textId="77777777" w:rsidR="00C82EFB" w:rsidRPr="00C82EFB" w:rsidRDefault="00C82EFB" w:rsidP="00C82EFB">
      <w:pPr>
        <w:ind w:left="1276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Incl. PTC 2-Leiter Fühler mit 4m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PVC Kabel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schwarz</w:t>
      </w:r>
    </w:p>
    <w:p w14:paraId="3EE824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BBC942" w14:textId="6B67A0C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24CE3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THERMOSTAT</w:t>
      </w:r>
    </w:p>
    <w:p w14:paraId="3C0789F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3AF5B" w14:textId="0AA054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7AAF08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D9526A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B1579C" w14:textId="77777777" w:rsidR="004C3DCC" w:rsidRDefault="004C3DC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9124A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E7988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776B9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DAE3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5CA39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B7BB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96EE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A84CF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BB8D0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09A1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3B8646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114F2C" w14:textId="77777777" w:rsidR="004C3DCC" w:rsidRPr="00C82EFB" w:rsidRDefault="004C3DC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9AF6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27F704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6A3C5BC6" w14:textId="77777777" w:rsidR="00BB72E7" w:rsidRPr="00464909" w:rsidRDefault="00BB72E7" w:rsidP="00BB72E7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2899AD7F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2AA1B090" w14:textId="77777777" w:rsidR="00BB72E7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17FF4C79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38256E5D" w14:textId="77777777" w:rsidR="00BB72E7" w:rsidRDefault="00C2520D" w:rsidP="00BB72E7">
      <w:pPr>
        <w:rPr>
          <w:rFonts w:ascii="Century Gothic" w:hAnsi="Century Gothic" w:cs="Arial"/>
          <w:color w:val="595959" w:themeColor="text1" w:themeTint="A6"/>
          <w:szCs w:val="22"/>
        </w:rPr>
      </w:pPr>
      <w:hyperlink r:id="rId26" w:history="1">
        <w:r w:rsidR="00BB72E7" w:rsidRPr="00A60373">
          <w:rPr>
            <w:rStyle w:val="Hyperlink"/>
            <w:rFonts w:ascii="Century Gothic" w:hAnsi="Century Gothic" w:cs="Arial"/>
            <w:szCs w:val="22"/>
          </w:rPr>
          <w:t>mirko.steuer@aliaxis.com</w:t>
        </w:r>
      </w:hyperlink>
    </w:p>
    <w:p w14:paraId="2FE60D73" w14:textId="77777777" w:rsidR="00DE0164" w:rsidRPr="00BB72E7" w:rsidRDefault="00DE0164" w:rsidP="00BB72E7">
      <w:pPr>
        <w:overflowPunct/>
        <w:autoSpaceDE/>
        <w:autoSpaceDN/>
        <w:adjustRightInd/>
        <w:textAlignment w:val="auto"/>
      </w:pPr>
    </w:p>
    <w:sectPr w:rsidR="00DE0164" w:rsidRPr="00BB72E7" w:rsidSect="000763EF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1EA4" w14:textId="77777777" w:rsidR="007460F5" w:rsidRDefault="007460F5" w:rsidP="00DE0164">
      <w:r>
        <w:separator/>
      </w:r>
    </w:p>
  </w:endnote>
  <w:endnote w:type="continuationSeparator" w:id="0">
    <w:p w14:paraId="6E63B6FE" w14:textId="77777777" w:rsidR="007460F5" w:rsidRDefault="007460F5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8"/>
      <w:gridCol w:w="18"/>
      <w:gridCol w:w="1972"/>
      <w:gridCol w:w="2227"/>
    </w:tblGrid>
    <w:tr w:rsidR="00C8130C" w:rsidRPr="00DB4958" w14:paraId="3BF951E2" w14:textId="77777777" w:rsidTr="00E9648A">
      <w:trPr>
        <w:trHeight w:val="462"/>
      </w:trPr>
      <w:tc>
        <w:tcPr>
          <w:tcW w:w="4708" w:type="dxa"/>
        </w:tcPr>
        <w:p w14:paraId="2673164F" w14:textId="77777777" w:rsidR="00C8130C" w:rsidRPr="002C48EE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18" w:type="dxa"/>
        </w:tcPr>
        <w:p w14:paraId="282B9238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1972" w:type="dxa"/>
        </w:tcPr>
        <w:p w14:paraId="2A9526B1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36FA1E8E" w14:textId="77777777" w:rsidR="00C8130C" w:rsidRPr="00DB4958" w:rsidRDefault="00C8130C" w:rsidP="00C8130C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227" w:type="dxa"/>
        </w:tcPr>
        <w:p w14:paraId="347307A7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  <w:r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 xml:space="preserve">   </w:t>
          </w:r>
        </w:p>
      </w:tc>
    </w:tr>
  </w:tbl>
  <w:sdt>
    <w:sdtPr>
      <w:id w:val="-875391730"/>
      <w:docPartObj>
        <w:docPartGallery w:val="Page Numbers (Bottom of Page)"/>
        <w:docPartUnique/>
      </w:docPartObj>
    </w:sdtPr>
    <w:sdtEndPr/>
    <w:sdtContent>
      <w:p w14:paraId="66C71820" w14:textId="77777777" w:rsidR="00C8130C" w:rsidRDefault="00C8130C" w:rsidP="00C813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9B4EE8" w14:textId="77777777" w:rsidR="00C8130C" w:rsidRDefault="00C81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71B3" w14:textId="77777777" w:rsidR="007460F5" w:rsidRDefault="007460F5" w:rsidP="00DE0164">
      <w:r>
        <w:separator/>
      </w:r>
    </w:p>
  </w:footnote>
  <w:footnote w:type="continuationSeparator" w:id="0">
    <w:p w14:paraId="07D9092F" w14:textId="77777777" w:rsidR="007460F5" w:rsidRDefault="007460F5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C82EFB" w:rsidRDefault="00C2520D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3CE" w14:textId="77777777" w:rsidR="00C82EFB" w:rsidRDefault="00C2520D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C82E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C82EFB" w:rsidRDefault="00C2520D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5DB2"/>
    <w:multiLevelType w:val="hybridMultilevel"/>
    <w:tmpl w:val="8BE8A90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673"/>
    <w:multiLevelType w:val="hybridMultilevel"/>
    <w:tmpl w:val="61568B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45DA"/>
    <w:multiLevelType w:val="hybridMultilevel"/>
    <w:tmpl w:val="AED0EB46"/>
    <w:lvl w:ilvl="0" w:tplc="0EA42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1397">
    <w:abstractNumId w:val="2"/>
  </w:num>
  <w:num w:numId="2" w16cid:durableId="1288126090">
    <w:abstractNumId w:val="4"/>
  </w:num>
  <w:num w:numId="3" w16cid:durableId="1407070487">
    <w:abstractNumId w:val="0"/>
  </w:num>
  <w:num w:numId="4" w16cid:durableId="425538313">
    <w:abstractNumId w:val="3"/>
  </w:num>
  <w:num w:numId="5" w16cid:durableId="1126505981">
    <w:abstractNumId w:val="1"/>
  </w:num>
  <w:num w:numId="6" w16cid:durableId="55883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0294A"/>
    <w:rsid w:val="00011ADF"/>
    <w:rsid w:val="00015905"/>
    <w:rsid w:val="00061B5E"/>
    <w:rsid w:val="000763EF"/>
    <w:rsid w:val="000828AE"/>
    <w:rsid w:val="000A5E55"/>
    <w:rsid w:val="000E77D1"/>
    <w:rsid w:val="00143C84"/>
    <w:rsid w:val="0015716D"/>
    <w:rsid w:val="00172931"/>
    <w:rsid w:val="00181902"/>
    <w:rsid w:val="00220B14"/>
    <w:rsid w:val="00274122"/>
    <w:rsid w:val="002A4153"/>
    <w:rsid w:val="002B119F"/>
    <w:rsid w:val="002B57E0"/>
    <w:rsid w:val="002B7A36"/>
    <w:rsid w:val="002C0348"/>
    <w:rsid w:val="002C48EE"/>
    <w:rsid w:val="002E6D2E"/>
    <w:rsid w:val="00315ACB"/>
    <w:rsid w:val="003246DC"/>
    <w:rsid w:val="00342C5D"/>
    <w:rsid w:val="00354B43"/>
    <w:rsid w:val="0039319C"/>
    <w:rsid w:val="003A370E"/>
    <w:rsid w:val="003A7A47"/>
    <w:rsid w:val="003C7D52"/>
    <w:rsid w:val="003D09B2"/>
    <w:rsid w:val="003F3D4A"/>
    <w:rsid w:val="0046794B"/>
    <w:rsid w:val="00471F35"/>
    <w:rsid w:val="00486576"/>
    <w:rsid w:val="00496EDC"/>
    <w:rsid w:val="004A6E7E"/>
    <w:rsid w:val="004C3DCC"/>
    <w:rsid w:val="004D03B5"/>
    <w:rsid w:val="004D1C28"/>
    <w:rsid w:val="005138B4"/>
    <w:rsid w:val="00515493"/>
    <w:rsid w:val="00524D58"/>
    <w:rsid w:val="005509F4"/>
    <w:rsid w:val="005B3104"/>
    <w:rsid w:val="005D5800"/>
    <w:rsid w:val="005F1C7C"/>
    <w:rsid w:val="00640EEB"/>
    <w:rsid w:val="00654B4A"/>
    <w:rsid w:val="00662A2A"/>
    <w:rsid w:val="006B6621"/>
    <w:rsid w:val="006D2054"/>
    <w:rsid w:val="006D573C"/>
    <w:rsid w:val="006D7C74"/>
    <w:rsid w:val="006E73B4"/>
    <w:rsid w:val="0070157E"/>
    <w:rsid w:val="007460F5"/>
    <w:rsid w:val="00752786"/>
    <w:rsid w:val="007552F0"/>
    <w:rsid w:val="00757782"/>
    <w:rsid w:val="00763E6D"/>
    <w:rsid w:val="007670C5"/>
    <w:rsid w:val="00767BEE"/>
    <w:rsid w:val="00771381"/>
    <w:rsid w:val="00773A89"/>
    <w:rsid w:val="007824F0"/>
    <w:rsid w:val="0078502E"/>
    <w:rsid w:val="007C081B"/>
    <w:rsid w:val="007C4049"/>
    <w:rsid w:val="007E2328"/>
    <w:rsid w:val="007E6013"/>
    <w:rsid w:val="007F01C3"/>
    <w:rsid w:val="007F6986"/>
    <w:rsid w:val="00800365"/>
    <w:rsid w:val="0081777D"/>
    <w:rsid w:val="00825062"/>
    <w:rsid w:val="00832471"/>
    <w:rsid w:val="00842D48"/>
    <w:rsid w:val="00882E45"/>
    <w:rsid w:val="0089127A"/>
    <w:rsid w:val="008919F9"/>
    <w:rsid w:val="00891CFD"/>
    <w:rsid w:val="008D79DB"/>
    <w:rsid w:val="008E5841"/>
    <w:rsid w:val="009149B1"/>
    <w:rsid w:val="0091541B"/>
    <w:rsid w:val="00923629"/>
    <w:rsid w:val="00936183"/>
    <w:rsid w:val="00943C07"/>
    <w:rsid w:val="00970946"/>
    <w:rsid w:val="0097727F"/>
    <w:rsid w:val="009876FF"/>
    <w:rsid w:val="009B494B"/>
    <w:rsid w:val="009B7BD5"/>
    <w:rsid w:val="009D4931"/>
    <w:rsid w:val="009E2E9C"/>
    <w:rsid w:val="00A279DC"/>
    <w:rsid w:val="00A3646F"/>
    <w:rsid w:val="00A44A91"/>
    <w:rsid w:val="00A454F5"/>
    <w:rsid w:val="00A47A0F"/>
    <w:rsid w:val="00A50D35"/>
    <w:rsid w:val="00A63661"/>
    <w:rsid w:val="00A6742B"/>
    <w:rsid w:val="00A70154"/>
    <w:rsid w:val="00A87049"/>
    <w:rsid w:val="00AC08AE"/>
    <w:rsid w:val="00AC59AA"/>
    <w:rsid w:val="00AE78B9"/>
    <w:rsid w:val="00AF091D"/>
    <w:rsid w:val="00AF29B4"/>
    <w:rsid w:val="00AF5BEB"/>
    <w:rsid w:val="00B4654A"/>
    <w:rsid w:val="00B50BFD"/>
    <w:rsid w:val="00B919AE"/>
    <w:rsid w:val="00B92887"/>
    <w:rsid w:val="00B95F03"/>
    <w:rsid w:val="00B97BE6"/>
    <w:rsid w:val="00BB3455"/>
    <w:rsid w:val="00BB72E7"/>
    <w:rsid w:val="00BC31FE"/>
    <w:rsid w:val="00BC7CBC"/>
    <w:rsid w:val="00BD07AF"/>
    <w:rsid w:val="00C2520D"/>
    <w:rsid w:val="00C41AAC"/>
    <w:rsid w:val="00C46767"/>
    <w:rsid w:val="00C643EB"/>
    <w:rsid w:val="00C75E9E"/>
    <w:rsid w:val="00C764BC"/>
    <w:rsid w:val="00C8130C"/>
    <w:rsid w:val="00C82EFB"/>
    <w:rsid w:val="00CB2C24"/>
    <w:rsid w:val="00CE2B93"/>
    <w:rsid w:val="00CF743B"/>
    <w:rsid w:val="00D03F3C"/>
    <w:rsid w:val="00D11D9F"/>
    <w:rsid w:val="00D571B8"/>
    <w:rsid w:val="00D65530"/>
    <w:rsid w:val="00D84FE6"/>
    <w:rsid w:val="00DB4958"/>
    <w:rsid w:val="00DE0164"/>
    <w:rsid w:val="00E214D5"/>
    <w:rsid w:val="00E47841"/>
    <w:rsid w:val="00E54DCC"/>
    <w:rsid w:val="00E66EBC"/>
    <w:rsid w:val="00E7093C"/>
    <w:rsid w:val="00EB0E0E"/>
    <w:rsid w:val="00EB6B48"/>
    <w:rsid w:val="00EE14DC"/>
    <w:rsid w:val="00EF0E93"/>
    <w:rsid w:val="00F24CED"/>
    <w:rsid w:val="00F73309"/>
    <w:rsid w:val="00FC1D9F"/>
    <w:rsid w:val="00FC3D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2EFB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C82EFB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C82EFB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82EFB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E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C82EFB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C82EFB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2EF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2EF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2EFB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C82EFB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C82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C82EFB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C82EFB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C82EFB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C82EF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C82EF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C82EFB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C82EFB"/>
  </w:style>
  <w:style w:type="paragraph" w:styleId="Textkrper">
    <w:name w:val="Body Text"/>
    <w:basedOn w:val="Standard"/>
    <w:link w:val="TextkrperZchn"/>
    <w:autoRedefine/>
    <w:rsid w:val="00C82EFB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82EFB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C82EF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C82EF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C82EF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paragraph" w:customStyle="1" w:styleId="normal8links">
    <w:name w:val="normal8links"/>
    <w:basedOn w:val="Standard"/>
    <w:uiPriority w:val="99"/>
    <w:rsid w:val="00B4654A"/>
    <w:pPr>
      <w:tabs>
        <w:tab w:val="left" w:pos="0"/>
      </w:tabs>
      <w:overflowPunct/>
      <w:spacing w:line="180" w:lineRule="atLeast"/>
      <w:textAlignment w:val="center"/>
    </w:pPr>
    <w:rPr>
      <w:rFonts w:ascii="Verdana" w:eastAsiaTheme="minorHAnsi" w:hAnsi="Verdana" w:cs="Verdana"/>
      <w:color w:val="000000"/>
      <w:sz w:val="16"/>
      <w:szCs w:val="16"/>
      <w:lang w:val="en-GB" w:eastAsia="en-US"/>
    </w:rPr>
  </w:style>
  <w:style w:type="paragraph" w:styleId="Blocktext">
    <w:name w:val="Block Text"/>
    <w:basedOn w:val="Standard"/>
    <w:rsid w:val="00C82EFB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C82EFB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C82EFB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82EFB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C82EFB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C82EFB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82EFB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C8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82EFB"/>
  </w:style>
  <w:style w:type="paragraph" w:styleId="Listenabsatz">
    <w:name w:val="List Paragraph"/>
    <w:basedOn w:val="Standard"/>
    <w:uiPriority w:val="34"/>
    <w:qFormat/>
    <w:rsid w:val="00D84FE6"/>
    <w:pPr>
      <w:ind w:left="720"/>
      <w:contextualSpacing/>
    </w:pPr>
  </w:style>
  <w:style w:type="character" w:customStyle="1" w:styleId="normal8">
    <w:name w:val="normal8"/>
    <w:uiPriority w:val="99"/>
    <w:rsid w:val="00B4654A"/>
    <w:rPr>
      <w:rFonts w:ascii="Verdana" w:hAnsi="Verdana" w:cs="Verdana"/>
      <w:color w:val="000000"/>
      <w:spacing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mirko.steuer@aliaxis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58004-D79F-4AFA-88F1-C43196B9B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8124</Words>
  <Characters>51183</Characters>
  <Application>Microsoft Office Word</Application>
  <DocSecurity>0</DocSecurity>
  <Lines>426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22</cp:revision>
  <cp:lastPrinted>2023-09-29T07:15:00Z</cp:lastPrinted>
  <dcterms:created xsi:type="dcterms:W3CDTF">2023-09-29T06:06:00Z</dcterms:created>
  <dcterms:modified xsi:type="dcterms:W3CDTF">2023-10-09T08:09:00Z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